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2014/210 vom 1. Oktober 2012</w:t>
      </w:r>
    </w:p>
    <w:p>
      <w:r>
        <w:t>Sg Versicherungsgericht, 2012-10-01, DE</w:t>
      </w:r>
    </w:p>
    <w:p>
      <w:r>
        <w:rPr>
          <w:b/>
        </w:rPr>
        <w:t xml:space="preserve">Quelle: </w:t>
      </w:r>
      <w:r>
        <w:t>https://mcp.opencaselaw.ch/entscheid/sg_publikationen_IV 2014_210</w:t>
      </w:r>
    </w:p>
    <w:p>
      <w:r>
        <w:t>FR: SG_VERSICHERUNGSGERICHT IV 2014/210 du 1 octobre 2012</w:t>
      </w:r>
    </w:p>
    <w:p>
      <w:r>
        <w:t>IT: SG_VERSICHERUNGSGERICHT IV 2014/210 del 1 ottobre 2012</w:t>
      </w:r>
    </w:p>
    <w:p>
      <w:pPr>
        <w:pStyle w:val="Heading2"/>
      </w:pPr>
      <w:r>
        <w:t>Regeste</w:t>
      </w:r>
    </w:p>
    <w:p>
      <w:r>
        <w:t>Art. 28 IVG; Art. 59 Abs. 2bis IVG; Art. 49 IVV. Beurteilung des Leistungsbegehrens allein gestützt auf RAD-Berichte. Der Beweiswert der RAD-Berichte wurde vorliegend bejaht. Abweisung der Beschwerde (Entscheid des Versicherungsgerichts des Kantons St. Gallen vom 26. August 2016, IV 2014/210).</w:t>
      </w:r>
    </w:p>
    <w:p>
      <w:pPr>
        <w:pStyle w:val="Heading2"/>
      </w:pPr>
      <w:r>
        <w:t>Erwägungen</w:t>
      </w:r>
    </w:p>
    <w:p>
      <w:r>
        <w:rPr>
          <w:b/>
        </w:rPr>
        <w:t>E. 1</w:t>
      </w:r>
    </w:p>
    <w:p>
      <w:r>
        <w:t>Gegenstand der angefochtenen Verfügung vom 24. März 2014 bildet der Anspruch der Beschwerdeführerin auf eine Rente der Invalidenversicherung, der zwischen den Parteien umstritten und nachfolgend zu prüfen ist. 1.1  Anspruch auf eine Rente der Invalidenversicherung haben gemäss Art. 28 Abs. 1 des Bundesgesetzes über die Invalidenversicherung (IVG; SR 831.20) versicherte Personen,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Unter Invalidität wird die voraussichtlich bleibende oder längere Zeit dauernde ganze oder teilweise Erwerbsunfähigkeit verstanden (Art. 8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 und auf eine Dreiviertelsrente, wenn sie mindestens zu 60 % invalid ist. Bei einem Invaliditätsgrad von mindestens 50 % besteht ein Anspruch auf eine halbe Rente und bei einem Invaliditätsgrad von mindestens 40 % ein Anspruch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Hinsichtlich des Beweiswertes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Das im Rahmen des Verwaltungsverfahrens eingeholte Gutachten von externen Spezialärzten, die auf 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Das Gleiche gilt für Berichte und Gutachten versicherungsinterner Ärzte (BGE 125 V 351 E. 3b/ee). Den Berichten des RAD, welche den erwähnten Anforderungen genügen, kommt ebenfalls Beweiswert zu (Urteil der Bundesgerichts 9C_8/2011 vom 21. Februar 2011 E. 4.1.2 mit Hinweisen; 8C_197/2014 vom 3. Oktober 2014 E. 4.2). Nach der Rechtsprechung ist es dem Sozialversicherungsgericht nicht verwehrt, einzig oder im Wesentlichen gestützt auf die (versicherungsinterne) Beurteilung des RAD zu entscheiden. Es besteht kein förmlicher Anspruch auf versicherungsexterne Begutachtung. In solchen Fällen sind an die Beweiswürdigung jedoch strenge Anforderungen zu stellen. Bestehen auch nur geringe Zweifel an der Zuverlässigkeit und Schlüssigkeit der ärztlichen Feststellungen, ist eine (neue) Begutachtung anzuordnen (BGE 135 V 465 E. 4, Urteil des Bundesgerichts 9C_148/2012 vom 17. September 2012 E. 1.3 f. mit Hinweisen).</w:t>
      </w:r>
    </w:p>
    <w:p>
      <w:r>
        <w:rPr>
          <w:b/>
        </w:rPr>
        <w:t>E. 2</w:t>
      </w:r>
    </w:p>
    <w:p>
      <w:r>
        <w:t>Vorab ist die Frage zu beantworten, ob die medizinische Aktenlage eine rechtsgenügliche Beurteilung der Arbeitsfähigkeit der Beschwerdeführerin und damit schliesslich auch des geltend gemachten Rentenanspruchs ermöglicht. Eine Einschränkung der Leistungsfähigkeit ist nur dann anspruchserheblich, wenn sie Folge einer Gesundheitsbeeinträchtigung ist, die fachärztlich einwandfrei diagnostiziert worden ist (BGE 141 V 281 E. 2.1). 2.1  Es ist zunächst festzustellen, dass keine psychiatrische Diagnose gestellt wurde, insbesondere keine solche mit Blick auf ein Schmerzgeschehen. Eine psychiatrisch bedingte Arbeitsunfähigkeit wird nach Lage der Akten zu Recht nicht geltend gemacht (vgl. das bei den Fremdakten der Branchen Versicherung liegende psychiatrische Gutachten vom 11. Dezember 2012, S. 8 f., in welchem Dr. I.___ das Vorliegen einer psychischen Störung verneint und eine 100 %ige Arbeitsfähigkeit für alle Tätigkeiten und Verrichtungen ohne Einschränkungen attestiert hatte). 2.2  In somatischer Hinsicht ist im Weiteren darauf hinzuweisen, dass sich das Versicherungsgericht bereits im Entscheid UV 2013/57 vom 2. September 2014 mit dem von Dr. J.___ erstellten orthopädischen Gutachten vom 29. Januar 2013 befasst hatte. Das Gericht begründete darin einlässlich, warum das Gutachten von Dr. J.___ als nicht schlüssig und nachvollziehbar zu betrachten und damit beweisrechtlich unbeachtlich sei (vgl. E. 3.5, einsehbar unter http://www.gerichte.sg.ch/home/dienstleistungen/rechtsprechung/aktuelle_entscheide1/ Entscheide_201211/uv_-_unfallversicherung/uv-2013-57.html). Darauf wird verwiesen. Weiterungen hierzu erübrigen sich. 2.3  Zu prüfen bleibt somit die Frage, ob die Beschwerdegegnerin befugt war, dem Entscheid über das Leistungsbegehren der Beschwerdeführerin einzig die Stellungnahmen ihres RAD vom 27. November 2013 (IV-act. 53) und 21. Februar 2014 (IV-act. 57) zugrunde zu legen. Die Beschwerdeführerin bestreitet dies und macht geltend, eine neue Begutachtung sei erforderlich, wenn auf ein Gutachten nicht abgestellt werden könne (act. G 1, Rz. 8). 2.3.1  Gemäss Art. 59 Abs. 2bis IVG stehen die Regionalen Ärztlichen Dienste (RAD)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Damit soll eine konsequente Trennung der Zuständigkeiten zwischen behandelnden Ärzten (Heilbehandlung) und Sozialversicherung (Bestimmung der Auswirkungen des Gesundheitsschadens) geschaffen werden. Es soll im Hinblick auf eine erfolgreiche Eingliederung eine objektivere Festlegung der massgebenden funktionellen Leistungsfähigkeit der versicherten Person ermöglicht werden. Die RAD sind in ihrem medizinischen Sachentscheid im Einzelfall unabhängig. Nach Art. 49 der Verordnung über die Invalidenversicherung (IVV; SR 831.201) beurteilen die RAD die medizinischen Voraussetzungen des Leistungsanspruchs. Die geeigneten Prüfmethoden können sie im Rahmen ihrer medizinischen Fachkompetenz und der allgemeinen fachlichen Weisungen des Bundesamtes frei wählen (Abs. 1). Sie können bei Bedarf selbst ärztliche Untersuchungen von versicherten Personen durchführen und sie halten die Untersuchungsergebnisse schriftlich fest (Abs. 2). Geht es im Wesentlichen um die Beurteilung eines feststehenden medizinischen Sachverhalts und rückt die direkte ärztliche Befassung mit der versicherten Person in den Hintergrund, können sie von einer ärztlichen Untersuchung der versicherten Person absehen (Urteil des Bundesgerichts 9C_323/2009 vom 14. Juli 2009 E. 4.3.1 mit weiteren Hinweisen). 2.3.2  In den Akten liegen diverse fachärztliche und bildgebende Berichte, die dem RAD für seine Beurteilung vorlagen und die eine zuverlässige Beurteilung der Arbeitsfähigkeit erlauben. Zunächst diagnostizierte der behandelnde Dr. G.___ am 26. August 2010 (bei den Fremdakten der Branchen Versicherung; vgl. auch seinen Bericht vom 6. Oktober 2010, ebenfalls bei den Fremdakten der Branchen Versicherung) eine massive Steissbeinkontusion nach Treppensturz, klinisch ohne Verdacht auf Steissbeinfraktur. Ein MRI der LWS vier Monate nach dem Treppensturz ergab eine nicht kompressive kleinvolumige Diskushernie L4/L5 und im Übrigen altersentsprechende Verhältnisse (Bericht vom 8. September 2010, bei den Fremdakten der Branchen Versicherung). Dr. D.___ konnte auf Grund einer am 5. November 2010 durchgeführten Untersuchung der Beschwerdeführerin sowie des bildgebenden Materials eine Steissbeinkontusion, eine nicht kompressive Diskushernie L4/L5 und ein chronifiziertes Schmerzsyndrom bei sonst unauffälligen ossären Verhältnissen und normalen Weichteilbefunden, insbesondere ohne Fraktur im Steissbeinbereich, feststellen. Die klinischen Untersuchungsbefunde könnten das subjektiv geklagte Beschwerdebild nicht erklären, zumal keine Kompressionserscheinungen im Wurzelbereich und eine uneingeschränkte Rückenmobilität vorhanden seien, und sprächen gegen eine gröbere Affektion im unteren LWS-Bereich sowie im Iliosakralgelenk. Es bestünden vorwiegend psychosoziale Probleme. Der Status quo sine sei drei Monate nach dem Unfall erreicht worden. Es bestehe eine uneingeschränkte Arbeitsfähigkeit (Bericht vom 17. November 2010 und MRI-Bericht vom 8. September 2010, beide bei den Fremdakten der Branchen Versicherung). Die Ärzte der Neurochirurgie des KSSG schätzten die Arbeitsfähigkeit (zumindest für leichte Tätigkeiten) ebenfalls auf 100 % und fanden kein anatomisches Korrelat für die geklagten Beschwerden (Bericht vom 16. Dezember 2010, bei den Fremdakten der Branchen Versicherung). Somit kann auf Grund der bestehenden Aktenlage davon ausgegangen werden, dass die Beschwerdeführerin Ende 2010 uneingeschränkt arbeitsfähig war. 2.3.3  Eine Zunahme der Beschwerden macht die Beschwerdeführerin nicht geltend. Sie führt einzig aus, "weiterhin" an erheblichen Schmerzen im Bereich der Lendenwirbelsäule und der Iliosakralgelenke zu leiden, weshalb sie Physiotherapie in Anspruch nehme und sogar eine Operation des Iliosakralgelenks indiziert sei; ausserdem sei sie erneut in Behandlung bei Dr. G.___ (act. G 1, S. 4). Dazu ist zu bemerken, dass sich in den Akten bis auf eine Infiltration ins Iliosakralgelenk (vgl. Bericht des KSSG über eine am 23. Januar 2012 vorgenommene Infiltration ins Iliosakralgelenk links, bei den Fremdakten der Branchen Versicherung) keine Hinweise auf eine durchgeführte physiotherapeutische oder sonstige Behandlung (insbesondere Physiotherapie-Verordnungen) ergeben. Eine vom behandelnden Arzt Dr. G.___ verordnete chiropraktische Behandlung nahm die Beschwerdeführerin nicht wahr (vgl. Brief von Dr. M.___, Chiropraktor, vom 12. Juni 2012, IV-act. 16, S. 7). Im Weiteren wurde keine Probe-Arthrodese des linken Iliosakralgelenks gemäss Stellungnahme von Dr. G.___ vom 10. Februar 2014 erwogen (IV-act. 56, S. 1 f.). Dr. G.___ hielt darin fest, dass er die Beschwerdeführerin im Jahr zuvor nur sporadisch gesehen habe; dabei habe sie im Prinzip immer wieder über die genau gleichen Beschwerden an der LWS und den Iliosacralgelenken geklagt. Ein eigentlicher Handlungsbedarf habe von Seiten der Patientin bis auf wenige Physiotherapien nicht bestanden (in den Akten befinden sich ansonsten keine Hinweise auf durchgeführte Physiotherapie-Behandlungen). 2.3.4  Dr. G.___ fand weitere radiologische Kontrollen für nicht notwendig (Bericht vom 23. April 2012, das Datum handschriftlich korrigiert auf 19. Dezember 2011, bei den Fremdakten der Branchen Versicherung). Ein MRI von Wirbelsäule und Iliosakralgelenken vom 23. März 2012 hatte eine Diskusdehydratation L4/L5 mit Anulus fibrosus Einriss ohne Nervenwurzelkompression, eine bilaterale Sakroiliitis und einen interspinosalen Entzündungsprozess zwischen L3 und S1 ergeben (MRI-Bericht, bei den Fremdakten der Branchen Versicherung; vgl. auch Bericht von Dr. G.___ vom 11. Dezember 2011, IV-act. 16, S. 1 ff.). Eine Untersuchung im Departement Innere Medizin, Rheumato¬logie/Rehabilitation des KSSG vom 4. April 2012 schloss das Vorliegen einer Spondyloarthritis bzw. eines entzündlich-rheumatischen Geschehens aus (Bericht bei den Fremdakten der Branchen Versicherung). 2.3.5  RAD-Arzt Dr. L.___ ging am 27. November 2013 in Würdigung der vorstehend erwähnten Aktenlage zunächst von einem instabilen Gesundheitszustand aus und hielt das Einholen weiterer Berichte sowie die Durchführung einer Computertomographie (CT) für notwendig (IV-act. 53). Die in der Folge durchgeführte CT von Becken und Iliosakralgelenken ergab eine geringe Mehrsklerosierung des Iliossakralgelenks rechtsseitig, in Zusammenschau mit der Kernspintomographie vom 23. März 2012 vereinbar mit postentzündlichen Veränderungen. Das linke Iliosakralgelenk zeigte keine Läsionen, insbesondere keine Hinweise auf eine durchgemachte Fraktur (CT-Bericht vom 13. Januar 2014, IV-act. 56, S. 3, und Bericht von Dr. G.___ vom 10. Februar 2014, IV-act. 56, S. 1 f.). Den CT-Bericht besprach RAD-Arzt Dr. L.___ mit RAD-Ärztin Dr. med. N.___, Fachärztin für Radiologie FMH; danach hätten die Radiologen des KSSG bei der CT vom 13. Januar 2014 eine alte Fraktur am Übergang Sacrum-Os coccygis nicht beschrieben; die Iliosakralgelenke beidseits seien völlig unauffällig ohne Erosionen oder Sklerosierungen; eine Sacroiliitis könne ausgeschlossen werden; die Intervertebralgelenke L4/L5 und L5/S1 seien beidseits ohne Befund). 2.3.6  RAD-Arzt Dr. L.___ hatte bereits die MRI-Ergebnisse vom 23. März 2012 mit RAD-Ärztin Dr. N.___ durchgesehen und besprochen, wie er in einer erneuten Stellungnahme vom 21. Februar 2014 festhielt. Dabei habe kein wesentlicher pathologischer Befund erhoben werden können. Die von den Radiologen des KSSG beschriebene bilaterale Sakroiliitis mit interspinalem Entzündungsprozess der LWS sei nicht nachvollziehbar. Es bestehe lediglich ein geringes Knochenmarksödem in der massa lateralis des Sacrums beidseits, das ohne klinische Bedeutung sei. Für die persistierenden lumbosakralen Beschwerden der Beschwerdeführerin bestehe bis heute kein organisch-strukturelles Korrelat. So seien bereits vier Monate nach dem Treppensturz im ersten MRI der LWS vom 8. September 2010 (ohne Untersuchung des Os sacrum) keine Hinweise für posttraumatische Veränderungen der LWS sichtbar gewesen. Die geringen Signalstörungen in der massa lateralis sacri im MRI vom März 2012 seien klinisch bedeutungslos. Die CT vom Januar 2014 zeige eine alte, distale, abgeheilte Sacrumfraktur, ansonsten unauffällige Intervertebralsegmente; eine Sacroiliitis bzw. eine posttraumatische Instabilität des linken Iliosacralgelenks bestehe nicht. Weitere medizinische Abklärungen seien nicht angezeigt. Der behandelnde Arzt schreibe selbst, dass kein eigentlicher Handlungsbedarf bestanden habe. In leidensadaptierter Tätigkeit bestehe eine Arbeitsfähigkeit von 100 % (IV-act. 57). Schliesslich wies RAD-Arzt Dr. L.___ auf die gemäss EFL-Protokoll vom 16. November 2012 (bei den Fremdakten der Branchen Versicherung) festgestellten diversen Zeichen von Symptomausweitung, Inkonsistenzen und Selbstlimitierung hin (Stellungnahme vom 21. Februar 2014, IV-act. 57). 2.3.7  In Würdigung der gesamten Aktenlage erscheint zusammenfassend die Beurteilung durch RAD-Arzt Dr. L.___, wonach die Beschwerdeführerin in einer dem Leiden angepassten Tätigkeit zu 100 % arbeitsfähig ist, als schlüssig und nachvollziehbar. Er berücksichtigt die gesamte medizinische Aktenlage und hat für die Würdigung des bildgebenden Materials seine Kollegin, RAD-Ärztin Dr. N.___, die Radiologin ist, beigezogen. Seine Stellungnahmen erfüllen die eingangs (Erwägung 1.4) erwähnten bundesgerichtlichen Anforderungen an den Beweiswert von ärztlichen Stellungnahmen, insbesondere von RAD-Berichten. Darauf ist abzustellen. Der medizinische Sachverhalt erscheint demnach als erstellt. Von weiteren medizinischen Abklärungen sind keine neuen Erkenntnisse zu erwarten, weshalb darauf in antizipierter Beweiswürdigung zu verzichten ist (BGE 137 V 64 E. 5.2; Urteil des Bundesgerichts 8C_838/2011 vom 20. März 2012 E. 4.2).</w:t>
      </w:r>
    </w:p>
    <w:p>
      <w:r>
        <w:rPr>
          <w:b/>
        </w:rPr>
        <w:t>E. 3</w:t>
      </w:r>
    </w:p>
    <w:p>
      <w:r>
        <w:t>Die betraglichen Grundlagen zur Bestimmung der Vergleichseinkommen sind von der Beschwerdeführerin zu Recht nicht bestritten worden. Im Vergleich zu den statistischen Hilfsarbeiterlöhnen (vgl. hierzu Anhang 2: Lohnentwicklung, IV-Gesetzesausgabe der Informationsstelle AHV/IV, Ausgabe 2015) hat die Beschwerdeführerin in der Vergangenheit keine überdurchschnittlichen Jahresverdienste erzielt (vgl. IV-act. 5 und 25, S. 8 ff.). Ausgehend von einer 100 %igen Arbeitsfähigkeit für leidensangepasste Tätigkeiten erübrigen sich daher die Vornahme eines konkreten Einkommensvergleichs und insbesondere die Festsetzung eines Tabellenlohnabzugs. Denn selbst wenn bei der Bestimmung des Invalideneinkommens gestützt auf den durchschnittlichen Hilfsarbeiterlohn der höchstzulässige 25 %ige Tabellenlohnabzug berücksichtigt würde, resultierte offensichtlich kein rentenbegründender Invaliditätsgrad von mindestens 40 %.</w:t>
      </w:r>
    </w:p>
    <w:p>
      <w:r>
        <w:rPr>
          <w:b/>
        </w:rPr>
        <w:t>E. 4</w:t>
      </w:r>
    </w:p>
    <w:p>
      <w:r>
        <w:t>4.1  Nach dem Gesagten erweist sich die Beschwerde als unbegründet und ist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4.3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erscheint wie in vergleichbaren Fällen üblich eine Parteientschädigung von Fr. 3'500.- angemessen. Diese ist um einen Fünftel zu kürzen (Art. 31 Abs. 3 des Anwaltsgesetzes, sGS 963.70). Somit hat der Staat den Rechtsvertreter der Beschwerdeführerin pauschal mit Fr. 2'800.- (einschliesslich Barauslagen und Mehrwertsteuer) zu entschädigen.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Gerichtsgebühr in der Höhe von Fr. 600.- zufolge unentgeltlicher Rechtspflege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